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7339E4" w:rsidRDefault="0067505E" w:rsidP="00A475C2">
      <w:pPr>
        <w:jc w:val="both"/>
        <w:rPr>
          <w:rFonts w:ascii="Arial" w:hAnsi="Arial" w:cs="Arial"/>
        </w:rPr>
      </w:pPr>
    </w:p>
    <w:p w14:paraId="716C080D" w14:textId="77777777" w:rsidR="00AC610F" w:rsidRPr="007339E4" w:rsidRDefault="00AC610F" w:rsidP="00A475C2">
      <w:pPr>
        <w:jc w:val="center"/>
        <w:rPr>
          <w:rFonts w:ascii="Arial" w:hAnsi="Arial" w:cs="Arial"/>
          <w:b/>
        </w:rPr>
      </w:pPr>
    </w:p>
    <w:p w14:paraId="6FC6F286" w14:textId="7FE5C809" w:rsidR="00925746" w:rsidRPr="007339E4" w:rsidRDefault="007339E4" w:rsidP="007339E4">
      <w:pPr>
        <w:jc w:val="center"/>
        <w:rPr>
          <w:rFonts w:ascii="Arial" w:hAnsi="Arial" w:cs="Arial"/>
          <w:b/>
          <w:sz w:val="28"/>
          <w:szCs w:val="28"/>
        </w:rPr>
      </w:pPr>
      <w:r w:rsidRPr="007339E4">
        <w:rPr>
          <w:rFonts w:ascii="Arial" w:hAnsi="Arial" w:cs="Arial"/>
          <w:b/>
          <w:sz w:val="28"/>
          <w:szCs w:val="28"/>
        </w:rPr>
        <w:t>MATRIZ DE RISCOS</w:t>
      </w:r>
    </w:p>
    <w:p w14:paraId="32E1EA6D" w14:textId="77777777" w:rsidR="007339E4" w:rsidRPr="007339E4" w:rsidRDefault="007339E4" w:rsidP="00EF481E">
      <w:pPr>
        <w:pStyle w:val="NormalWeb"/>
        <w:jc w:val="right"/>
        <w:rPr>
          <w:rFonts w:ascii="Arial" w:hAnsi="Arial" w:cs="Arial"/>
        </w:rPr>
      </w:pPr>
    </w:p>
    <w:p w14:paraId="1052456F" w14:textId="77777777" w:rsidR="007339E4" w:rsidRPr="007339E4" w:rsidRDefault="007339E4" w:rsidP="00EF481E">
      <w:pPr>
        <w:pStyle w:val="NormalWeb"/>
        <w:jc w:val="right"/>
        <w:rPr>
          <w:rFonts w:ascii="Arial" w:hAnsi="Arial" w:cs="Arial"/>
        </w:rPr>
      </w:pPr>
    </w:p>
    <w:p w14:paraId="1779E7E0" w14:textId="77777777" w:rsidR="007339E4" w:rsidRPr="007339E4" w:rsidRDefault="007339E4" w:rsidP="007339E4">
      <w:pPr>
        <w:pStyle w:val="Ttulo2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7339E4">
        <w:rPr>
          <w:rFonts w:ascii="Arial" w:hAnsi="Arial" w:cs="Arial"/>
          <w:b/>
          <w:color w:val="auto"/>
          <w:sz w:val="24"/>
          <w:szCs w:val="24"/>
        </w:rPr>
        <w:t>1. Identificação do Objeto</w:t>
      </w:r>
    </w:p>
    <w:p w14:paraId="4E2233B5" w14:textId="77777777" w:rsidR="00C7681F" w:rsidRDefault="00C7681F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</w:p>
    <w:p w14:paraId="4053DA1A" w14:textId="77777777" w:rsidR="00C7681F" w:rsidRPr="00925746" w:rsidRDefault="00C7681F" w:rsidP="00C7681F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Contratação de empresa construtora legalmente habilitada, com acervo técnico compatível, para execução de obra de construção de barracão de estrutura mista (pré-moldada e convencional), conforme Memorial Descritivo, projetos técnicos e planilha orçamentária.</w:t>
      </w:r>
    </w:p>
    <w:p w14:paraId="6BE2F688" w14:textId="77777777" w:rsidR="00C7681F" w:rsidRPr="00925746" w:rsidRDefault="00C7681F" w:rsidP="00C7681F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 w:rsidRPr="00925746">
        <w:rPr>
          <w:rFonts w:ascii="Arial" w:eastAsiaTheme="minorHAnsi" w:hAnsi="Arial" w:cs="Arial"/>
          <w:bCs/>
          <w:lang w:eastAsia="en-US"/>
        </w:rPr>
        <w:t xml:space="preserve">R$ </w:t>
      </w:r>
      <w:r>
        <w:rPr>
          <w:rFonts w:ascii="Arial" w:eastAsiaTheme="minorHAnsi" w:hAnsi="Arial" w:cs="Arial"/>
          <w:bCs/>
          <w:lang w:eastAsia="en-US"/>
        </w:rPr>
        <w:t>1.319.840,65</w:t>
      </w:r>
    </w:p>
    <w:p w14:paraId="7D189D23" w14:textId="77777777" w:rsidR="00C7681F" w:rsidRDefault="00C7681F" w:rsidP="00C7681F">
      <w:pPr>
        <w:jc w:val="both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Modalidade de Licitação: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>
        <w:rPr>
          <w:rFonts w:ascii="Arial" w:eastAsiaTheme="minorHAnsi" w:hAnsi="Arial" w:cs="Arial"/>
          <w:bCs/>
          <w:lang w:eastAsia="en-US"/>
        </w:rPr>
        <w:t xml:space="preserve"> com Inversão de Fases (Apresentação de Propostas pós Habilitação)</w:t>
      </w:r>
    </w:p>
    <w:p w14:paraId="345150E9" w14:textId="77777777" w:rsidR="00C7681F" w:rsidRPr="00925746" w:rsidRDefault="00C7681F" w:rsidP="00C7681F">
      <w:pPr>
        <w:jc w:val="both"/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Rua Vereador Vilmar Ferreira Soares esquina com a Rua Eduardo </w:t>
      </w:r>
      <w:proofErr w:type="spellStart"/>
      <w:r>
        <w:rPr>
          <w:rFonts w:ascii="Arial" w:eastAsiaTheme="minorHAnsi" w:hAnsi="Arial" w:cs="Arial"/>
          <w:bCs/>
          <w:lang w:eastAsia="en-US"/>
        </w:rPr>
        <w:t>Drabecki</w:t>
      </w:r>
      <w:proofErr w:type="spellEnd"/>
      <w:r>
        <w:rPr>
          <w:rFonts w:ascii="Arial" w:eastAsiaTheme="minorHAnsi" w:hAnsi="Arial" w:cs="Arial"/>
          <w:bCs/>
          <w:lang w:eastAsia="en-US"/>
        </w:rPr>
        <w:t>, Bairro Vista Alegre.</w:t>
      </w:r>
    </w:p>
    <w:p w14:paraId="0347C28E" w14:textId="77777777" w:rsidR="00C7681F" w:rsidRDefault="00C7681F" w:rsidP="00C7681F">
      <w:pPr>
        <w:pStyle w:val="Ttulo2"/>
        <w:jc w:val="both"/>
        <w:rPr>
          <w:rFonts w:ascii="Arial" w:hAnsi="Arial" w:cs="Arial"/>
          <w:b/>
          <w:color w:val="auto"/>
          <w:sz w:val="24"/>
          <w:szCs w:val="24"/>
        </w:rPr>
      </w:pPr>
    </w:p>
    <w:p w14:paraId="2C86E399" w14:textId="10435CB2" w:rsidR="007339E4" w:rsidRPr="007339E4" w:rsidRDefault="007339E4" w:rsidP="00C7681F">
      <w:pPr>
        <w:pStyle w:val="Ttulo2"/>
        <w:jc w:val="both"/>
        <w:rPr>
          <w:rFonts w:ascii="Arial" w:hAnsi="Arial" w:cs="Arial"/>
          <w:b/>
          <w:color w:val="auto"/>
          <w:sz w:val="24"/>
          <w:szCs w:val="24"/>
        </w:rPr>
      </w:pPr>
      <w:r w:rsidRPr="007339E4">
        <w:rPr>
          <w:rFonts w:ascii="Arial" w:hAnsi="Arial" w:cs="Arial"/>
          <w:b/>
          <w:color w:val="auto"/>
          <w:sz w:val="24"/>
          <w:szCs w:val="24"/>
        </w:rPr>
        <w:t>2. Objetivo da Matriz de Riscos</w:t>
      </w:r>
    </w:p>
    <w:p w14:paraId="4DD61DC0" w14:textId="77777777" w:rsidR="007339E4" w:rsidRPr="007339E4" w:rsidRDefault="007339E4" w:rsidP="00C7681F">
      <w:pPr>
        <w:pStyle w:val="NormalWeb"/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A presente Matriz de Riscos tem por objetivo identificar, analisar e aloca</w:t>
      </w:r>
      <w:bookmarkStart w:id="0" w:name="_GoBack"/>
      <w:bookmarkEnd w:id="0"/>
      <w:r w:rsidRPr="007339E4">
        <w:rPr>
          <w:rFonts w:ascii="Arial" w:hAnsi="Arial" w:cs="Arial"/>
        </w:rPr>
        <w:t>r os principais riscos associados à contratação e execução da obra, definindo as responsabilidades entre a Administração Pública (Contratante) e a empresa executora (Contratada), bem como as medidas de mitigação, em conformidade com o art. 22 da Lei nº 14.133/2021.</w:t>
      </w:r>
    </w:p>
    <w:p w14:paraId="2A403F4B" w14:textId="77777777" w:rsidR="007339E4" w:rsidRPr="007339E4" w:rsidRDefault="007339E4" w:rsidP="00C7681F">
      <w:pPr>
        <w:pStyle w:val="Ttulo2"/>
        <w:jc w:val="both"/>
        <w:rPr>
          <w:rFonts w:ascii="Arial" w:hAnsi="Arial" w:cs="Arial"/>
          <w:b/>
          <w:color w:val="auto"/>
          <w:sz w:val="24"/>
          <w:szCs w:val="24"/>
        </w:rPr>
      </w:pPr>
      <w:r w:rsidRPr="007339E4">
        <w:rPr>
          <w:rFonts w:ascii="Arial" w:hAnsi="Arial" w:cs="Arial"/>
          <w:b/>
          <w:color w:val="auto"/>
          <w:sz w:val="24"/>
          <w:szCs w:val="24"/>
        </w:rPr>
        <w:t>3. Premissas Gerais</w:t>
      </w:r>
    </w:p>
    <w:p w14:paraId="7DC8F357" w14:textId="77777777" w:rsidR="007339E4" w:rsidRPr="007339E4" w:rsidRDefault="007339E4" w:rsidP="00C7681F">
      <w:pPr>
        <w:pStyle w:val="NormalWeb"/>
        <w:numPr>
          <w:ilvl w:val="0"/>
          <w:numId w:val="34"/>
        </w:num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Os riscos foram identificados considerando as fases de planejamento, contratação e execução da obra;</w:t>
      </w:r>
    </w:p>
    <w:p w14:paraId="212C3B4E" w14:textId="77777777" w:rsidR="007339E4" w:rsidRPr="007339E4" w:rsidRDefault="007339E4" w:rsidP="00C7681F">
      <w:pPr>
        <w:pStyle w:val="NormalWeb"/>
        <w:numPr>
          <w:ilvl w:val="0"/>
          <w:numId w:val="34"/>
        </w:num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A alocação de riscos observa o princípio da eficiência e da melhor aptidão para gerenciá-los;</w:t>
      </w:r>
    </w:p>
    <w:p w14:paraId="38EBEBFD" w14:textId="77777777" w:rsidR="007339E4" w:rsidRPr="007339E4" w:rsidRDefault="007339E4" w:rsidP="00C7681F">
      <w:pPr>
        <w:pStyle w:val="NormalWeb"/>
        <w:numPr>
          <w:ilvl w:val="0"/>
          <w:numId w:val="34"/>
        </w:num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Os riscos ordinários e previsíveis da execução da obra são atribuídos à Contratada;</w:t>
      </w:r>
    </w:p>
    <w:p w14:paraId="4DC91BC8" w14:textId="3C311298" w:rsidR="007339E4" w:rsidRDefault="007339E4" w:rsidP="00C7681F">
      <w:pPr>
        <w:pStyle w:val="NormalWeb"/>
        <w:numPr>
          <w:ilvl w:val="0"/>
          <w:numId w:val="34"/>
        </w:num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Os riscos extraordinários e imprevisíveis, quando caracterizados, são atribuídos à Contratante, nos termos legais.</w:t>
      </w:r>
    </w:p>
    <w:p w14:paraId="41A336F9" w14:textId="00610788" w:rsidR="007339E4" w:rsidRDefault="007339E4" w:rsidP="007339E4">
      <w:pPr>
        <w:pStyle w:val="NormalWeb"/>
        <w:rPr>
          <w:rFonts w:ascii="Arial" w:hAnsi="Arial" w:cs="Arial"/>
        </w:rPr>
      </w:pPr>
    </w:p>
    <w:p w14:paraId="256A9266" w14:textId="720655D4" w:rsidR="007339E4" w:rsidRDefault="007339E4" w:rsidP="007339E4">
      <w:pPr>
        <w:pStyle w:val="NormalWeb"/>
        <w:rPr>
          <w:rFonts w:ascii="Arial" w:hAnsi="Arial" w:cs="Arial"/>
        </w:rPr>
      </w:pPr>
    </w:p>
    <w:p w14:paraId="7817997A" w14:textId="363A87FF" w:rsidR="007339E4" w:rsidRDefault="007339E4" w:rsidP="007339E4">
      <w:pPr>
        <w:pStyle w:val="NormalWeb"/>
        <w:rPr>
          <w:rFonts w:ascii="Arial" w:hAnsi="Arial" w:cs="Arial"/>
        </w:rPr>
      </w:pPr>
    </w:p>
    <w:p w14:paraId="7E8016E7" w14:textId="7525022E" w:rsidR="007339E4" w:rsidRDefault="007339E4" w:rsidP="007339E4">
      <w:pPr>
        <w:pStyle w:val="NormalWeb"/>
        <w:rPr>
          <w:rFonts w:ascii="Arial" w:hAnsi="Arial" w:cs="Arial"/>
        </w:rPr>
      </w:pPr>
    </w:p>
    <w:p w14:paraId="27D188F6" w14:textId="09F28A2F" w:rsidR="007339E4" w:rsidRDefault="007339E4" w:rsidP="007339E4">
      <w:pPr>
        <w:pStyle w:val="NormalWeb"/>
        <w:rPr>
          <w:rFonts w:ascii="Arial" w:hAnsi="Arial" w:cs="Arial"/>
        </w:rPr>
      </w:pPr>
    </w:p>
    <w:p w14:paraId="38ABD490" w14:textId="77777777" w:rsidR="007339E4" w:rsidRPr="007339E4" w:rsidRDefault="007339E4" w:rsidP="007339E4">
      <w:pPr>
        <w:pStyle w:val="NormalWeb"/>
        <w:rPr>
          <w:rFonts w:ascii="Arial" w:hAnsi="Arial" w:cs="Arial"/>
        </w:rPr>
      </w:pPr>
    </w:p>
    <w:p w14:paraId="610D35AF" w14:textId="77777777" w:rsidR="007339E4" w:rsidRDefault="007339E4" w:rsidP="007339E4">
      <w:pPr>
        <w:pStyle w:val="Ttulo2"/>
        <w:rPr>
          <w:rFonts w:ascii="Arial" w:hAnsi="Arial" w:cs="Arial"/>
          <w:sz w:val="24"/>
          <w:szCs w:val="24"/>
        </w:rPr>
      </w:pPr>
    </w:p>
    <w:p w14:paraId="373B9D73" w14:textId="3B11FB20" w:rsidR="007339E4" w:rsidRP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  <w:r w:rsidRPr="007339E4">
        <w:rPr>
          <w:rFonts w:ascii="Arial" w:hAnsi="Arial" w:cs="Arial"/>
          <w:b/>
          <w:color w:val="auto"/>
          <w:sz w:val="24"/>
          <w:szCs w:val="24"/>
        </w:rPr>
        <w:t>4. Matriz de Riscos</w:t>
      </w:r>
    </w:p>
    <w:p w14:paraId="2F9E32AC" w14:textId="77777777" w:rsidR="007339E4" w:rsidRPr="007339E4" w:rsidRDefault="007339E4" w:rsidP="007339E4">
      <w:pPr>
        <w:rPr>
          <w:sz w:val="18"/>
          <w:szCs w:val="18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6"/>
        <w:gridCol w:w="2224"/>
        <w:gridCol w:w="1161"/>
        <w:gridCol w:w="1251"/>
        <w:gridCol w:w="751"/>
        <w:gridCol w:w="1329"/>
        <w:gridCol w:w="2639"/>
      </w:tblGrid>
      <w:tr w:rsidR="007339E4" w:rsidRPr="007339E4" w14:paraId="6A9EB2F3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141DCC" w14:textId="77777777" w:rsidR="007339E4" w:rsidRPr="007339E4" w:rsidRDefault="007339E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339E4">
              <w:rPr>
                <w:rFonts w:ascii="Arial" w:hAnsi="Arial" w:cs="Arial"/>
                <w:b/>
                <w:bCs/>
                <w:sz w:val="18"/>
                <w:szCs w:val="18"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14:paraId="6FC7C67E" w14:textId="77777777" w:rsidR="007339E4" w:rsidRPr="007339E4" w:rsidRDefault="007339E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339E4">
              <w:rPr>
                <w:rFonts w:ascii="Arial" w:hAnsi="Arial" w:cs="Arial"/>
                <w:b/>
                <w:bCs/>
                <w:sz w:val="18"/>
                <w:szCs w:val="18"/>
              </w:rPr>
              <w:t>Descrição do Risco</w:t>
            </w:r>
          </w:p>
        </w:tc>
        <w:tc>
          <w:tcPr>
            <w:tcW w:w="0" w:type="auto"/>
            <w:vAlign w:val="center"/>
            <w:hideMark/>
          </w:tcPr>
          <w:p w14:paraId="5E16B021" w14:textId="77777777" w:rsidR="007339E4" w:rsidRPr="007339E4" w:rsidRDefault="007339E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339E4">
              <w:rPr>
                <w:rFonts w:ascii="Arial" w:hAnsi="Arial" w:cs="Arial"/>
                <w:b/>
                <w:bCs/>
                <w:sz w:val="18"/>
                <w:szCs w:val="18"/>
              </w:rPr>
              <w:t>Fase</w:t>
            </w:r>
          </w:p>
        </w:tc>
        <w:tc>
          <w:tcPr>
            <w:tcW w:w="0" w:type="auto"/>
            <w:vAlign w:val="center"/>
            <w:hideMark/>
          </w:tcPr>
          <w:p w14:paraId="276FD29B" w14:textId="77777777" w:rsidR="007339E4" w:rsidRPr="007339E4" w:rsidRDefault="007339E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339E4">
              <w:rPr>
                <w:rFonts w:ascii="Arial" w:hAnsi="Arial" w:cs="Arial"/>
                <w:b/>
                <w:bCs/>
                <w:sz w:val="18"/>
                <w:szCs w:val="18"/>
              </w:rPr>
              <w:t>Probabilidade</w:t>
            </w:r>
          </w:p>
        </w:tc>
        <w:tc>
          <w:tcPr>
            <w:tcW w:w="0" w:type="auto"/>
            <w:vAlign w:val="center"/>
            <w:hideMark/>
          </w:tcPr>
          <w:p w14:paraId="07EF5E60" w14:textId="77777777" w:rsidR="007339E4" w:rsidRPr="007339E4" w:rsidRDefault="007339E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339E4">
              <w:rPr>
                <w:rFonts w:ascii="Arial" w:hAnsi="Arial" w:cs="Arial"/>
                <w:b/>
                <w:bCs/>
                <w:sz w:val="18"/>
                <w:szCs w:val="18"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05044918" w14:textId="77777777" w:rsidR="007339E4" w:rsidRPr="007339E4" w:rsidRDefault="007339E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339E4">
              <w:rPr>
                <w:rFonts w:ascii="Arial" w:hAnsi="Arial" w:cs="Arial"/>
                <w:b/>
                <w:bCs/>
                <w:sz w:val="18"/>
                <w:szCs w:val="18"/>
              </w:rPr>
              <w:t>Alocação do Risco</w:t>
            </w:r>
          </w:p>
        </w:tc>
        <w:tc>
          <w:tcPr>
            <w:tcW w:w="0" w:type="auto"/>
            <w:vAlign w:val="center"/>
            <w:hideMark/>
          </w:tcPr>
          <w:p w14:paraId="1074C463" w14:textId="77777777" w:rsidR="007339E4" w:rsidRPr="007339E4" w:rsidRDefault="007339E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339E4">
              <w:rPr>
                <w:rFonts w:ascii="Arial" w:hAnsi="Arial" w:cs="Arial"/>
                <w:b/>
                <w:bCs/>
                <w:sz w:val="18"/>
                <w:szCs w:val="18"/>
              </w:rPr>
              <w:t>Medidas de Mitigação</w:t>
            </w:r>
          </w:p>
        </w:tc>
      </w:tr>
      <w:tr w:rsidR="007339E4" w:rsidRPr="007339E4" w14:paraId="2432A043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43FBD4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R1</w:t>
            </w:r>
          </w:p>
        </w:tc>
        <w:tc>
          <w:tcPr>
            <w:tcW w:w="0" w:type="auto"/>
            <w:vAlign w:val="center"/>
            <w:hideMark/>
          </w:tcPr>
          <w:p w14:paraId="7C20CEE6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Inconsistências ou omissões em projetos</w:t>
            </w:r>
          </w:p>
        </w:tc>
        <w:tc>
          <w:tcPr>
            <w:tcW w:w="0" w:type="auto"/>
            <w:vAlign w:val="center"/>
            <w:hideMark/>
          </w:tcPr>
          <w:p w14:paraId="11AE5A6C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Planejamento</w:t>
            </w:r>
          </w:p>
        </w:tc>
        <w:tc>
          <w:tcPr>
            <w:tcW w:w="0" w:type="auto"/>
            <w:vAlign w:val="center"/>
            <w:hideMark/>
          </w:tcPr>
          <w:p w14:paraId="68CFA74A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0151BBB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379B42A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14:paraId="5A590571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Revisão técnica prévia dos projetos; esclarecimentos no edital; fiscalização contínua</w:t>
            </w:r>
          </w:p>
        </w:tc>
      </w:tr>
      <w:tr w:rsidR="007339E4" w:rsidRPr="007339E4" w14:paraId="1D731100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3AE682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R2</w:t>
            </w:r>
          </w:p>
        </w:tc>
        <w:tc>
          <w:tcPr>
            <w:tcW w:w="0" w:type="auto"/>
            <w:vAlign w:val="center"/>
            <w:hideMark/>
          </w:tcPr>
          <w:p w14:paraId="7FA9DD9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Atraso na mobilização inicial da empresa</w:t>
            </w:r>
          </w:p>
        </w:tc>
        <w:tc>
          <w:tcPr>
            <w:tcW w:w="0" w:type="auto"/>
            <w:vAlign w:val="center"/>
            <w:hideMark/>
          </w:tcPr>
          <w:p w14:paraId="32A6FE4A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4B763047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1026F401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416B868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5514E3C6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Exigência de cronograma físico-financeiro; sanções contratuais</w:t>
            </w:r>
          </w:p>
        </w:tc>
      </w:tr>
      <w:tr w:rsidR="007339E4" w:rsidRPr="007339E4" w14:paraId="661951BB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600052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R3</w:t>
            </w:r>
          </w:p>
        </w:tc>
        <w:tc>
          <w:tcPr>
            <w:tcW w:w="0" w:type="auto"/>
            <w:vAlign w:val="center"/>
            <w:hideMark/>
          </w:tcPr>
          <w:p w14:paraId="17F9230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Atraso na execução dos serviços</w:t>
            </w:r>
          </w:p>
        </w:tc>
        <w:tc>
          <w:tcPr>
            <w:tcW w:w="0" w:type="auto"/>
            <w:vAlign w:val="center"/>
            <w:hideMark/>
          </w:tcPr>
          <w:p w14:paraId="4BC1AA32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5FAB142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4131341F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17A97131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5A6815CD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Planejamento adequado; fiscalização permanente; multas por atraso</w:t>
            </w:r>
          </w:p>
        </w:tc>
      </w:tr>
      <w:tr w:rsidR="007339E4" w:rsidRPr="007339E4" w14:paraId="59BA3E8F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61613A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R4</w:t>
            </w:r>
          </w:p>
        </w:tc>
        <w:tc>
          <w:tcPr>
            <w:tcW w:w="0" w:type="auto"/>
            <w:vAlign w:val="center"/>
            <w:hideMark/>
          </w:tcPr>
          <w:p w14:paraId="56DBD64B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Elevação de custos por má gestão da obra</w:t>
            </w:r>
          </w:p>
        </w:tc>
        <w:tc>
          <w:tcPr>
            <w:tcW w:w="0" w:type="auto"/>
            <w:vAlign w:val="center"/>
            <w:hideMark/>
          </w:tcPr>
          <w:p w14:paraId="4AB8EE8F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33A4D2B2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5533BBF9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3CBF19F9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0A54291F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Controle de insumos e produtividade; responsabilidade inerente ao preço global</w:t>
            </w:r>
          </w:p>
        </w:tc>
      </w:tr>
      <w:tr w:rsidR="007339E4" w:rsidRPr="007339E4" w14:paraId="6C8E9078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FEEBE9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R5</w:t>
            </w:r>
          </w:p>
        </w:tc>
        <w:tc>
          <w:tcPr>
            <w:tcW w:w="0" w:type="auto"/>
            <w:vAlign w:val="center"/>
            <w:hideMark/>
          </w:tcPr>
          <w:p w14:paraId="46AD1C11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Serviços executados em desconformidade técnica</w:t>
            </w:r>
          </w:p>
        </w:tc>
        <w:tc>
          <w:tcPr>
            <w:tcW w:w="0" w:type="auto"/>
            <w:vAlign w:val="center"/>
            <w:hideMark/>
          </w:tcPr>
          <w:p w14:paraId="7A1A8A85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6741020E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43F8C919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3A47A125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68FDD2D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Fiscalização técnica; atendimento às normas ABNT; refazimento sem ônus</w:t>
            </w:r>
          </w:p>
        </w:tc>
      </w:tr>
      <w:tr w:rsidR="007339E4" w:rsidRPr="007339E4" w14:paraId="550076CA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4929EE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R6</w:t>
            </w:r>
          </w:p>
        </w:tc>
        <w:tc>
          <w:tcPr>
            <w:tcW w:w="0" w:type="auto"/>
            <w:vAlign w:val="center"/>
            <w:hideMark/>
          </w:tcPr>
          <w:p w14:paraId="75DA5D4F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Ocorrência de acidentes de trabalho</w:t>
            </w:r>
          </w:p>
        </w:tc>
        <w:tc>
          <w:tcPr>
            <w:tcW w:w="0" w:type="auto"/>
            <w:vAlign w:val="center"/>
            <w:hideMark/>
          </w:tcPr>
          <w:p w14:paraId="553A9556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437FE4FA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1C80116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78287A4D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43E8CCAA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Cumprimento das normas de segurança; fornecimento de EPIs e treinamentos</w:t>
            </w:r>
          </w:p>
        </w:tc>
      </w:tr>
      <w:tr w:rsidR="007339E4" w:rsidRPr="007339E4" w14:paraId="30BD5F2C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DA05D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R7</w:t>
            </w:r>
          </w:p>
        </w:tc>
        <w:tc>
          <w:tcPr>
            <w:tcW w:w="0" w:type="auto"/>
            <w:vAlign w:val="center"/>
            <w:hideMark/>
          </w:tcPr>
          <w:p w14:paraId="001ED683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Condições climáticas adversas</w:t>
            </w:r>
          </w:p>
        </w:tc>
        <w:tc>
          <w:tcPr>
            <w:tcW w:w="0" w:type="auto"/>
            <w:vAlign w:val="center"/>
            <w:hideMark/>
          </w:tcPr>
          <w:p w14:paraId="3A18050E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4686BD0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3A0EC70E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63F7342F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14:paraId="1D99CF96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Planejamento do cronograma; reprogramação justificada</w:t>
            </w:r>
          </w:p>
        </w:tc>
      </w:tr>
      <w:tr w:rsidR="007339E4" w:rsidRPr="007339E4" w14:paraId="1CDEB827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F8DEDE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R8</w:t>
            </w:r>
          </w:p>
        </w:tc>
        <w:tc>
          <w:tcPr>
            <w:tcW w:w="0" w:type="auto"/>
            <w:vAlign w:val="center"/>
            <w:hideMark/>
          </w:tcPr>
          <w:p w14:paraId="458ADA37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Interferências não previstas ou atraso na liberação da área</w:t>
            </w:r>
          </w:p>
        </w:tc>
        <w:tc>
          <w:tcPr>
            <w:tcW w:w="0" w:type="auto"/>
            <w:vAlign w:val="center"/>
            <w:hideMark/>
          </w:tcPr>
          <w:p w14:paraId="7AE25BA6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58E2F02E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1524FEBD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474D4CF6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14:paraId="7B8E4AF6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Liberação prévia do local; atuação imediata para remoção de interferências</w:t>
            </w:r>
          </w:p>
        </w:tc>
      </w:tr>
      <w:tr w:rsidR="007339E4" w:rsidRPr="007339E4" w14:paraId="639F5100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4B8284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R9</w:t>
            </w:r>
          </w:p>
        </w:tc>
        <w:tc>
          <w:tcPr>
            <w:tcW w:w="0" w:type="auto"/>
            <w:vAlign w:val="center"/>
            <w:hideMark/>
          </w:tcPr>
          <w:p w14:paraId="16DACD55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Caso fortuito ou força maior</w:t>
            </w:r>
          </w:p>
        </w:tc>
        <w:tc>
          <w:tcPr>
            <w:tcW w:w="0" w:type="auto"/>
            <w:vAlign w:val="center"/>
            <w:hideMark/>
          </w:tcPr>
          <w:p w14:paraId="63040560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2C4F295D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73F2A76E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3F0E0E36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14:paraId="19441326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Aplicação das regras contratuais; reequilíbrio econômico-financeiro quando cabível</w:t>
            </w:r>
          </w:p>
        </w:tc>
      </w:tr>
      <w:tr w:rsidR="007339E4" w:rsidRPr="007339E4" w14:paraId="397B0AF8" w14:textId="77777777" w:rsidTr="007339E4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F34FAE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R10</w:t>
            </w:r>
          </w:p>
        </w:tc>
        <w:tc>
          <w:tcPr>
            <w:tcW w:w="0" w:type="auto"/>
            <w:vAlign w:val="center"/>
            <w:hideMark/>
          </w:tcPr>
          <w:p w14:paraId="1E44A885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Descumprimento de obrigações legais, fiscais ou trabalhistas</w:t>
            </w:r>
          </w:p>
        </w:tc>
        <w:tc>
          <w:tcPr>
            <w:tcW w:w="0" w:type="auto"/>
            <w:vAlign w:val="center"/>
            <w:hideMark/>
          </w:tcPr>
          <w:p w14:paraId="4B01B5C8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1BA78DBA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05F4EAC5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1FDF4503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53673577" w14:textId="77777777" w:rsidR="007339E4" w:rsidRPr="007339E4" w:rsidRDefault="007339E4">
            <w:pPr>
              <w:rPr>
                <w:rFonts w:ascii="Arial" w:hAnsi="Arial" w:cs="Arial"/>
                <w:sz w:val="18"/>
                <w:szCs w:val="18"/>
              </w:rPr>
            </w:pPr>
            <w:r w:rsidRPr="007339E4">
              <w:rPr>
                <w:rFonts w:ascii="Arial" w:hAnsi="Arial" w:cs="Arial"/>
                <w:sz w:val="18"/>
                <w:szCs w:val="18"/>
              </w:rPr>
              <w:t>Exigência de regularidade; retenções e sanções previstas em contrato</w:t>
            </w:r>
          </w:p>
        </w:tc>
      </w:tr>
    </w:tbl>
    <w:p w14:paraId="3C011563" w14:textId="77777777" w:rsidR="007339E4" w:rsidRDefault="007339E4" w:rsidP="007339E4">
      <w:pPr>
        <w:pStyle w:val="Ttulo2"/>
        <w:rPr>
          <w:rFonts w:ascii="Arial" w:hAnsi="Arial" w:cs="Arial"/>
          <w:sz w:val="24"/>
          <w:szCs w:val="24"/>
        </w:rPr>
      </w:pPr>
    </w:p>
    <w:p w14:paraId="4060A5C9" w14:textId="116DCA93" w:rsidR="007339E4" w:rsidRP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  <w:r w:rsidRPr="007339E4">
        <w:rPr>
          <w:rFonts w:ascii="Arial" w:hAnsi="Arial" w:cs="Arial"/>
          <w:b/>
          <w:color w:val="auto"/>
          <w:sz w:val="24"/>
          <w:szCs w:val="24"/>
        </w:rPr>
        <w:t>5. Alocação dos Riscos</w:t>
      </w:r>
    </w:p>
    <w:p w14:paraId="56C4D3C1" w14:textId="77777777" w:rsidR="007339E4" w:rsidRPr="007339E4" w:rsidRDefault="007339E4" w:rsidP="007339E4">
      <w:pPr>
        <w:pStyle w:val="NormalWeb"/>
        <w:ind w:firstLine="708"/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A alocação dos riscos foi definida considerando a capacidade de cada parte em gerenciá-los de forma mais eficiente, sendo atribuídos à Contratada os riscos inerentes à execução da obra e à Contratante aqueles relacionados a fatores externos à atuação direta da empresa executora.</w:t>
      </w:r>
    </w:p>
    <w:p w14:paraId="41B19D1A" w14:textId="77777777" w:rsid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</w:p>
    <w:p w14:paraId="7FC40EA1" w14:textId="77777777" w:rsid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</w:p>
    <w:p w14:paraId="40306EB3" w14:textId="5381BF24" w:rsid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</w:p>
    <w:p w14:paraId="338EA404" w14:textId="77777777" w:rsidR="007339E4" w:rsidRPr="007339E4" w:rsidRDefault="007339E4" w:rsidP="007339E4"/>
    <w:p w14:paraId="4B55E8D3" w14:textId="77777777" w:rsid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</w:p>
    <w:p w14:paraId="1B63EA23" w14:textId="77777777" w:rsid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</w:p>
    <w:p w14:paraId="57FC74BE" w14:textId="69CA9285" w:rsidR="007339E4" w:rsidRP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  <w:r w:rsidRPr="007339E4">
        <w:rPr>
          <w:rFonts w:ascii="Arial" w:hAnsi="Arial" w:cs="Arial"/>
          <w:b/>
          <w:color w:val="auto"/>
          <w:sz w:val="24"/>
          <w:szCs w:val="24"/>
        </w:rPr>
        <w:t>6. Conclusão</w:t>
      </w:r>
    </w:p>
    <w:p w14:paraId="0B1790DE" w14:textId="77777777" w:rsidR="007339E4" w:rsidRPr="007339E4" w:rsidRDefault="007339E4" w:rsidP="007339E4">
      <w:pPr>
        <w:pStyle w:val="NormalWeb"/>
        <w:ind w:firstLine="708"/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A presente Matriz de Riscos demonstra que os riscos associados à contratação são conhecidos, mensuráveis e passíveis de mitigação, não comprometendo a viabilidade da contratação, estando em conformidade com a Lei nº 14.133/2021 e as boas práticas de gestão de riscos em contratações públicas.</w:t>
      </w:r>
    </w:p>
    <w:p w14:paraId="221D4115" w14:textId="4006ED69" w:rsidR="007339E4" w:rsidRPr="007339E4" w:rsidRDefault="007339E4" w:rsidP="007339E4">
      <w:pPr>
        <w:rPr>
          <w:rFonts w:ascii="Arial" w:hAnsi="Arial" w:cs="Arial"/>
        </w:rPr>
      </w:pPr>
    </w:p>
    <w:p w14:paraId="2F16EC47" w14:textId="2DA54163" w:rsidR="007339E4" w:rsidRPr="007339E4" w:rsidRDefault="007339E4" w:rsidP="007339E4">
      <w:pPr>
        <w:rPr>
          <w:rFonts w:ascii="Arial" w:hAnsi="Arial" w:cs="Arial"/>
        </w:rPr>
      </w:pPr>
    </w:p>
    <w:p w14:paraId="5C2AB4AD" w14:textId="77777777" w:rsidR="007339E4" w:rsidRPr="007339E4" w:rsidRDefault="007339E4" w:rsidP="00EF481E">
      <w:pPr>
        <w:pStyle w:val="NormalWeb"/>
        <w:jc w:val="right"/>
        <w:rPr>
          <w:rFonts w:ascii="Arial" w:hAnsi="Arial" w:cs="Arial"/>
        </w:rPr>
      </w:pPr>
    </w:p>
    <w:p w14:paraId="3E53015B" w14:textId="6BA8ECE5" w:rsidR="00925746" w:rsidRPr="007339E4" w:rsidRDefault="00925746" w:rsidP="00EF481E">
      <w:pPr>
        <w:pStyle w:val="NormalWeb"/>
        <w:jc w:val="right"/>
        <w:rPr>
          <w:rFonts w:ascii="Arial" w:hAnsi="Arial" w:cs="Arial"/>
        </w:rPr>
      </w:pPr>
      <w:r w:rsidRPr="007339E4">
        <w:rPr>
          <w:rFonts w:ascii="Arial" w:hAnsi="Arial" w:cs="Arial"/>
        </w:rPr>
        <w:t xml:space="preserve">Rio Bonito do Iguaçu – PR, </w:t>
      </w:r>
      <w:r w:rsidR="00EF481E" w:rsidRPr="007339E4">
        <w:rPr>
          <w:rFonts w:ascii="Arial" w:hAnsi="Arial" w:cs="Arial"/>
        </w:rPr>
        <w:t>2</w:t>
      </w:r>
      <w:r w:rsidR="00C7681F">
        <w:rPr>
          <w:rFonts w:ascii="Arial" w:hAnsi="Arial" w:cs="Arial"/>
        </w:rPr>
        <w:t>9</w:t>
      </w:r>
      <w:r w:rsidRPr="007339E4">
        <w:rPr>
          <w:rFonts w:ascii="Arial" w:hAnsi="Arial" w:cs="Arial"/>
        </w:rPr>
        <w:t xml:space="preserve"> de </w:t>
      </w:r>
      <w:r w:rsidR="00EF481E" w:rsidRPr="007339E4">
        <w:rPr>
          <w:rFonts w:ascii="Arial" w:hAnsi="Arial" w:cs="Arial"/>
        </w:rPr>
        <w:t>janeiro</w:t>
      </w:r>
      <w:r w:rsidRPr="007339E4">
        <w:rPr>
          <w:rFonts w:ascii="Arial" w:hAnsi="Arial" w:cs="Arial"/>
        </w:rPr>
        <w:t xml:space="preserve"> de 2026.</w:t>
      </w:r>
    </w:p>
    <w:p w14:paraId="2BE814C1" w14:textId="778BDFA3" w:rsidR="00141156" w:rsidRPr="007339E4" w:rsidRDefault="00141156" w:rsidP="00A475C2">
      <w:pPr>
        <w:jc w:val="both"/>
        <w:rPr>
          <w:rFonts w:ascii="Arial" w:hAnsi="Arial" w:cs="Arial"/>
        </w:rPr>
      </w:pPr>
    </w:p>
    <w:p w14:paraId="1D242682" w14:textId="419AA49D" w:rsidR="00925746" w:rsidRPr="007339E4" w:rsidRDefault="00925746" w:rsidP="00A475C2">
      <w:pPr>
        <w:jc w:val="both"/>
        <w:rPr>
          <w:rFonts w:ascii="Arial" w:hAnsi="Arial" w:cs="Arial"/>
        </w:rPr>
      </w:pPr>
    </w:p>
    <w:p w14:paraId="64A9F2A0" w14:textId="77777777" w:rsidR="00925746" w:rsidRPr="007339E4" w:rsidRDefault="00925746" w:rsidP="00A475C2">
      <w:pPr>
        <w:jc w:val="both"/>
        <w:rPr>
          <w:rFonts w:ascii="Arial" w:hAnsi="Arial" w:cs="Arial"/>
        </w:rPr>
      </w:pPr>
    </w:p>
    <w:p w14:paraId="73FA1006" w14:textId="77777777" w:rsidR="00141156" w:rsidRPr="007339E4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7339E4" w:rsidRDefault="00083A87" w:rsidP="00A475C2">
      <w:p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7339E4" w:rsidRDefault="00083A87" w:rsidP="00A475C2">
      <w:pPr>
        <w:jc w:val="both"/>
        <w:rPr>
          <w:rFonts w:ascii="Arial" w:hAnsi="Arial" w:cs="Arial"/>
        </w:rPr>
      </w:pPr>
      <w:r w:rsidRPr="007339E4">
        <w:rPr>
          <w:rFonts w:ascii="Arial" w:hAnsi="Arial" w:cs="Arial"/>
          <w:b/>
        </w:rPr>
        <w:t xml:space="preserve">     </w:t>
      </w:r>
      <w:r w:rsidR="007A2217" w:rsidRPr="007339E4">
        <w:rPr>
          <w:rFonts w:ascii="Arial" w:hAnsi="Arial" w:cs="Arial"/>
          <w:b/>
        </w:rPr>
        <w:t>Amarildo Gomes de Almeida</w:t>
      </w:r>
      <w:r w:rsidRPr="007339E4">
        <w:rPr>
          <w:rFonts w:ascii="Arial" w:hAnsi="Arial" w:cs="Arial"/>
          <w:b/>
        </w:rPr>
        <w:tab/>
      </w:r>
      <w:r w:rsidRPr="007339E4">
        <w:rPr>
          <w:rFonts w:ascii="Arial" w:hAnsi="Arial" w:cs="Arial"/>
          <w:b/>
        </w:rPr>
        <w:tab/>
        <w:t xml:space="preserve">    </w:t>
      </w:r>
      <w:r w:rsidR="007A2217" w:rsidRPr="007339E4">
        <w:rPr>
          <w:rFonts w:ascii="Arial" w:hAnsi="Arial" w:cs="Arial"/>
          <w:b/>
        </w:rPr>
        <w:t>Enio Augusto S. da Luz</w:t>
      </w:r>
    </w:p>
    <w:p w14:paraId="23FCF3D7" w14:textId="54CE2415" w:rsidR="00083A87" w:rsidRPr="007339E4" w:rsidRDefault="00083A87" w:rsidP="00A475C2">
      <w:p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 xml:space="preserve">              </w:t>
      </w:r>
      <w:r w:rsidR="007A2217" w:rsidRPr="007339E4">
        <w:rPr>
          <w:rFonts w:ascii="Arial" w:hAnsi="Arial" w:cs="Arial"/>
        </w:rPr>
        <w:t>Desenhista Projetista</w:t>
      </w:r>
      <w:r w:rsidRPr="007339E4">
        <w:rPr>
          <w:rFonts w:ascii="Arial" w:hAnsi="Arial" w:cs="Arial"/>
        </w:rPr>
        <w:tab/>
      </w:r>
      <w:r w:rsidRPr="007339E4">
        <w:rPr>
          <w:rFonts w:ascii="Arial" w:hAnsi="Arial" w:cs="Arial"/>
        </w:rPr>
        <w:tab/>
      </w:r>
      <w:r w:rsidRPr="007339E4">
        <w:rPr>
          <w:rFonts w:ascii="Arial" w:hAnsi="Arial" w:cs="Arial"/>
        </w:rPr>
        <w:tab/>
        <w:t xml:space="preserve">Eng. Civil – CREA = </w:t>
      </w:r>
      <w:r w:rsidR="00E32EA7" w:rsidRPr="007339E4">
        <w:rPr>
          <w:rFonts w:ascii="Arial" w:hAnsi="Arial" w:cs="Arial"/>
        </w:rPr>
        <w:t>219227</w:t>
      </w:r>
      <w:r w:rsidRPr="007339E4">
        <w:rPr>
          <w:rFonts w:ascii="Arial" w:hAnsi="Arial" w:cs="Arial"/>
        </w:rPr>
        <w:t xml:space="preserve">/D </w:t>
      </w:r>
    </w:p>
    <w:p w14:paraId="3FC0D494" w14:textId="72A636CC" w:rsidR="00C0116C" w:rsidRPr="007339E4" w:rsidRDefault="007A2217" w:rsidP="00A475C2">
      <w:p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 xml:space="preserve">     </w:t>
      </w:r>
      <w:r w:rsidR="00E164A2" w:rsidRPr="007339E4">
        <w:rPr>
          <w:rFonts w:ascii="Arial" w:hAnsi="Arial" w:cs="Arial"/>
        </w:rPr>
        <w:t xml:space="preserve">  </w:t>
      </w:r>
      <w:r w:rsidRPr="007339E4">
        <w:rPr>
          <w:rFonts w:ascii="Arial" w:hAnsi="Arial" w:cs="Arial"/>
        </w:rPr>
        <w:t xml:space="preserve">Resp. </w:t>
      </w:r>
      <w:proofErr w:type="spellStart"/>
      <w:r w:rsidRPr="007339E4">
        <w:rPr>
          <w:rFonts w:ascii="Arial" w:hAnsi="Arial" w:cs="Arial"/>
        </w:rPr>
        <w:t>Depto</w:t>
      </w:r>
      <w:proofErr w:type="spellEnd"/>
      <w:r w:rsidRPr="007339E4">
        <w:rPr>
          <w:rFonts w:ascii="Arial" w:hAnsi="Arial" w:cs="Arial"/>
        </w:rPr>
        <w:t xml:space="preserve">. </w:t>
      </w:r>
      <w:proofErr w:type="gramStart"/>
      <w:r w:rsidRPr="007339E4">
        <w:rPr>
          <w:rFonts w:ascii="Arial" w:hAnsi="Arial" w:cs="Arial"/>
        </w:rPr>
        <w:t>de</w:t>
      </w:r>
      <w:proofErr w:type="gramEnd"/>
      <w:r w:rsidRPr="007339E4">
        <w:rPr>
          <w:rFonts w:ascii="Arial" w:hAnsi="Arial" w:cs="Arial"/>
        </w:rPr>
        <w:t xml:space="preserve"> Engenharia</w:t>
      </w:r>
    </w:p>
    <w:sectPr w:rsidR="00C0116C" w:rsidRPr="007339E4" w:rsidSect="007339E4">
      <w:headerReference w:type="default" r:id="rId8"/>
      <w:footerReference w:type="default" r:id="rId9"/>
      <w:pgSz w:w="11906" w:h="16838"/>
      <w:pgMar w:top="1452" w:right="1134" w:bottom="142" w:left="851" w:header="35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55EF6D86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7681F">
          <w:rPr>
            <w:noProof/>
          </w:rPr>
          <w:t>3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73C39CE1" w:rsidR="00496F7B" w:rsidRDefault="007339E4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40F8C548">
          <wp:simplePos x="0" y="0"/>
          <wp:positionH relativeFrom="page">
            <wp:posOffset>347885</wp:posOffset>
          </wp:positionH>
          <wp:positionV relativeFrom="paragraph">
            <wp:posOffset>63026</wp:posOffset>
          </wp:positionV>
          <wp:extent cx="1385443" cy="1077468"/>
          <wp:effectExtent l="57150" t="57150" r="24765" b="46990"/>
          <wp:wrapNone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96F7B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0BF2917A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7339E4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97FD8"/>
    <w:multiLevelType w:val="multilevel"/>
    <w:tmpl w:val="B0342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2036AD"/>
    <w:multiLevelType w:val="multilevel"/>
    <w:tmpl w:val="8B4AF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F056BD"/>
    <w:multiLevelType w:val="multilevel"/>
    <w:tmpl w:val="2FF4EC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0C2945BC"/>
    <w:multiLevelType w:val="hybridMultilevel"/>
    <w:tmpl w:val="8FD443F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10374362"/>
    <w:multiLevelType w:val="multilevel"/>
    <w:tmpl w:val="6E029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9F2A92"/>
    <w:multiLevelType w:val="multilevel"/>
    <w:tmpl w:val="BC689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FA6B74"/>
    <w:multiLevelType w:val="multilevel"/>
    <w:tmpl w:val="17D47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0A344EB"/>
    <w:multiLevelType w:val="multilevel"/>
    <w:tmpl w:val="5C78F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24F5874"/>
    <w:multiLevelType w:val="multilevel"/>
    <w:tmpl w:val="678E5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2D32808"/>
    <w:multiLevelType w:val="multilevel"/>
    <w:tmpl w:val="0F2EB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5363220"/>
    <w:multiLevelType w:val="multilevel"/>
    <w:tmpl w:val="8728A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BB57ADA"/>
    <w:multiLevelType w:val="multilevel"/>
    <w:tmpl w:val="AFB2D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0916DFE"/>
    <w:multiLevelType w:val="multilevel"/>
    <w:tmpl w:val="117CFF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38F2BE3"/>
    <w:multiLevelType w:val="multilevel"/>
    <w:tmpl w:val="D5BE8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5596883"/>
    <w:multiLevelType w:val="multilevel"/>
    <w:tmpl w:val="6A4E9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7FF68E9"/>
    <w:multiLevelType w:val="multilevel"/>
    <w:tmpl w:val="14FEC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8D33D92"/>
    <w:multiLevelType w:val="multilevel"/>
    <w:tmpl w:val="ADFC4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F6135E0"/>
    <w:multiLevelType w:val="multilevel"/>
    <w:tmpl w:val="2528C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F8511C5"/>
    <w:multiLevelType w:val="multilevel"/>
    <w:tmpl w:val="BEB60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4470793"/>
    <w:multiLevelType w:val="multilevel"/>
    <w:tmpl w:val="636CB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6D34E10"/>
    <w:multiLevelType w:val="multilevel"/>
    <w:tmpl w:val="02140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8140E0"/>
    <w:multiLevelType w:val="multilevel"/>
    <w:tmpl w:val="4088F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56C75EE8"/>
    <w:multiLevelType w:val="multilevel"/>
    <w:tmpl w:val="89748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DB12876"/>
    <w:multiLevelType w:val="multilevel"/>
    <w:tmpl w:val="E4B0B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3946806"/>
    <w:multiLevelType w:val="multilevel"/>
    <w:tmpl w:val="0EF67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6F52297"/>
    <w:multiLevelType w:val="multilevel"/>
    <w:tmpl w:val="4D7E3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8F95881"/>
    <w:multiLevelType w:val="multilevel"/>
    <w:tmpl w:val="493284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C8B4EFE"/>
    <w:multiLevelType w:val="multilevel"/>
    <w:tmpl w:val="5B986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5E763C3"/>
    <w:multiLevelType w:val="multilevel"/>
    <w:tmpl w:val="FBA6A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72C35CE"/>
    <w:multiLevelType w:val="multilevel"/>
    <w:tmpl w:val="B83A0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BBE68F9"/>
    <w:multiLevelType w:val="multilevel"/>
    <w:tmpl w:val="AA1C8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C006A2E"/>
    <w:multiLevelType w:val="multilevel"/>
    <w:tmpl w:val="8F82D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F2454F7"/>
    <w:multiLevelType w:val="multilevel"/>
    <w:tmpl w:val="BEF8A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2"/>
  </w:num>
  <w:num w:numId="2">
    <w:abstractNumId w:val="24"/>
  </w:num>
  <w:num w:numId="3">
    <w:abstractNumId w:val="4"/>
  </w:num>
  <w:num w:numId="4">
    <w:abstractNumId w:val="0"/>
  </w:num>
  <w:num w:numId="5">
    <w:abstractNumId w:val="16"/>
  </w:num>
  <w:num w:numId="6">
    <w:abstractNumId w:val="2"/>
  </w:num>
  <w:num w:numId="7">
    <w:abstractNumId w:val="29"/>
  </w:num>
  <w:num w:numId="8">
    <w:abstractNumId w:val="20"/>
  </w:num>
  <w:num w:numId="9">
    <w:abstractNumId w:val="26"/>
  </w:num>
  <w:num w:numId="10">
    <w:abstractNumId w:val="6"/>
  </w:num>
  <w:num w:numId="11">
    <w:abstractNumId w:val="25"/>
  </w:num>
  <w:num w:numId="12">
    <w:abstractNumId w:val="15"/>
  </w:num>
  <w:num w:numId="13">
    <w:abstractNumId w:val="13"/>
  </w:num>
  <w:num w:numId="14">
    <w:abstractNumId w:val="23"/>
  </w:num>
  <w:num w:numId="15">
    <w:abstractNumId w:val="34"/>
  </w:num>
  <w:num w:numId="16">
    <w:abstractNumId w:val="19"/>
  </w:num>
  <w:num w:numId="17">
    <w:abstractNumId w:val="7"/>
  </w:num>
  <w:num w:numId="18">
    <w:abstractNumId w:val="18"/>
  </w:num>
  <w:num w:numId="19">
    <w:abstractNumId w:val="10"/>
  </w:num>
  <w:num w:numId="20">
    <w:abstractNumId w:val="33"/>
  </w:num>
  <w:num w:numId="21">
    <w:abstractNumId w:val="28"/>
  </w:num>
  <w:num w:numId="22">
    <w:abstractNumId w:val="32"/>
  </w:num>
  <w:num w:numId="23">
    <w:abstractNumId w:val="11"/>
  </w:num>
  <w:num w:numId="24">
    <w:abstractNumId w:val="5"/>
  </w:num>
  <w:num w:numId="25">
    <w:abstractNumId w:val="27"/>
  </w:num>
  <w:num w:numId="26">
    <w:abstractNumId w:val="12"/>
  </w:num>
  <w:num w:numId="27">
    <w:abstractNumId w:val="14"/>
  </w:num>
  <w:num w:numId="28">
    <w:abstractNumId w:val="8"/>
  </w:num>
  <w:num w:numId="29">
    <w:abstractNumId w:val="3"/>
  </w:num>
  <w:num w:numId="30">
    <w:abstractNumId w:val="1"/>
  </w:num>
  <w:num w:numId="31">
    <w:abstractNumId w:val="30"/>
  </w:num>
  <w:num w:numId="32">
    <w:abstractNumId w:val="35"/>
  </w:num>
  <w:num w:numId="33">
    <w:abstractNumId w:val="31"/>
  </w:num>
  <w:num w:numId="34">
    <w:abstractNumId w:val="21"/>
  </w:num>
  <w:num w:numId="35">
    <w:abstractNumId w:val="17"/>
  </w:num>
  <w:num w:numId="36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2210C"/>
    <w:rsid w:val="00041881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51D7"/>
    <w:rsid w:val="000C1F99"/>
    <w:rsid w:val="000C37EC"/>
    <w:rsid w:val="000D1A69"/>
    <w:rsid w:val="000D7470"/>
    <w:rsid w:val="000E3C7B"/>
    <w:rsid w:val="000F5543"/>
    <w:rsid w:val="001020E6"/>
    <w:rsid w:val="0011372D"/>
    <w:rsid w:val="001219FF"/>
    <w:rsid w:val="001252DD"/>
    <w:rsid w:val="00134386"/>
    <w:rsid w:val="00141156"/>
    <w:rsid w:val="00155180"/>
    <w:rsid w:val="00156714"/>
    <w:rsid w:val="0016137D"/>
    <w:rsid w:val="00163F21"/>
    <w:rsid w:val="00172CB5"/>
    <w:rsid w:val="00180B2A"/>
    <w:rsid w:val="00182ED0"/>
    <w:rsid w:val="00183C6D"/>
    <w:rsid w:val="00183DA2"/>
    <w:rsid w:val="0018442D"/>
    <w:rsid w:val="00190C57"/>
    <w:rsid w:val="001961FB"/>
    <w:rsid w:val="001B223C"/>
    <w:rsid w:val="001B28D8"/>
    <w:rsid w:val="001C5793"/>
    <w:rsid w:val="001C65BC"/>
    <w:rsid w:val="001C7ABE"/>
    <w:rsid w:val="001D0B55"/>
    <w:rsid w:val="001D0CCA"/>
    <w:rsid w:val="001E2E95"/>
    <w:rsid w:val="0020623D"/>
    <w:rsid w:val="00215BB5"/>
    <w:rsid w:val="00216823"/>
    <w:rsid w:val="00223857"/>
    <w:rsid w:val="00225A3D"/>
    <w:rsid w:val="00227F42"/>
    <w:rsid w:val="00230D98"/>
    <w:rsid w:val="002434D8"/>
    <w:rsid w:val="00257479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307AC8"/>
    <w:rsid w:val="00311909"/>
    <w:rsid w:val="0031256E"/>
    <w:rsid w:val="00321F0C"/>
    <w:rsid w:val="003270F0"/>
    <w:rsid w:val="0032711B"/>
    <w:rsid w:val="00330512"/>
    <w:rsid w:val="00332445"/>
    <w:rsid w:val="00336689"/>
    <w:rsid w:val="00363435"/>
    <w:rsid w:val="00367A9A"/>
    <w:rsid w:val="003A1333"/>
    <w:rsid w:val="003A7E9F"/>
    <w:rsid w:val="003B420F"/>
    <w:rsid w:val="003C1386"/>
    <w:rsid w:val="003D789F"/>
    <w:rsid w:val="003E7325"/>
    <w:rsid w:val="003F465C"/>
    <w:rsid w:val="00403BBA"/>
    <w:rsid w:val="00407BA4"/>
    <w:rsid w:val="00411095"/>
    <w:rsid w:val="0041723B"/>
    <w:rsid w:val="00420F54"/>
    <w:rsid w:val="00425F7F"/>
    <w:rsid w:val="004306D4"/>
    <w:rsid w:val="00435135"/>
    <w:rsid w:val="0045097F"/>
    <w:rsid w:val="00451E9B"/>
    <w:rsid w:val="00452EAB"/>
    <w:rsid w:val="00464E4A"/>
    <w:rsid w:val="00481F11"/>
    <w:rsid w:val="00482152"/>
    <w:rsid w:val="00496F7B"/>
    <w:rsid w:val="004D5FC1"/>
    <w:rsid w:val="004E1781"/>
    <w:rsid w:val="004E2836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97A"/>
    <w:rsid w:val="0061495B"/>
    <w:rsid w:val="0062596E"/>
    <w:rsid w:val="00633472"/>
    <w:rsid w:val="00652802"/>
    <w:rsid w:val="00663209"/>
    <w:rsid w:val="00663B28"/>
    <w:rsid w:val="00664798"/>
    <w:rsid w:val="0067080E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6F90"/>
    <w:rsid w:val="006E6ABB"/>
    <w:rsid w:val="00702676"/>
    <w:rsid w:val="00714299"/>
    <w:rsid w:val="007261A4"/>
    <w:rsid w:val="007339E4"/>
    <w:rsid w:val="00757255"/>
    <w:rsid w:val="00764623"/>
    <w:rsid w:val="00770130"/>
    <w:rsid w:val="00771753"/>
    <w:rsid w:val="00782727"/>
    <w:rsid w:val="00786A5D"/>
    <w:rsid w:val="007A2217"/>
    <w:rsid w:val="007A6A00"/>
    <w:rsid w:val="00812930"/>
    <w:rsid w:val="00814CB3"/>
    <w:rsid w:val="00820B9E"/>
    <w:rsid w:val="00827571"/>
    <w:rsid w:val="00827E5B"/>
    <w:rsid w:val="00833EAE"/>
    <w:rsid w:val="0085369C"/>
    <w:rsid w:val="00854B82"/>
    <w:rsid w:val="008616B2"/>
    <w:rsid w:val="00864E82"/>
    <w:rsid w:val="008777F2"/>
    <w:rsid w:val="00883274"/>
    <w:rsid w:val="008A7BC3"/>
    <w:rsid w:val="008D1C13"/>
    <w:rsid w:val="008D2F49"/>
    <w:rsid w:val="008D4885"/>
    <w:rsid w:val="008E7884"/>
    <w:rsid w:val="00900B25"/>
    <w:rsid w:val="00925746"/>
    <w:rsid w:val="00927386"/>
    <w:rsid w:val="009275F9"/>
    <w:rsid w:val="0094287C"/>
    <w:rsid w:val="00962F7A"/>
    <w:rsid w:val="0097235A"/>
    <w:rsid w:val="00984144"/>
    <w:rsid w:val="00996042"/>
    <w:rsid w:val="009968D8"/>
    <w:rsid w:val="009A1776"/>
    <w:rsid w:val="009C3568"/>
    <w:rsid w:val="009C7C40"/>
    <w:rsid w:val="009D0DB0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C610F"/>
    <w:rsid w:val="00AD5CC0"/>
    <w:rsid w:val="00B052D6"/>
    <w:rsid w:val="00B0673C"/>
    <w:rsid w:val="00B157D1"/>
    <w:rsid w:val="00B1653F"/>
    <w:rsid w:val="00B20D06"/>
    <w:rsid w:val="00B268E8"/>
    <w:rsid w:val="00B438C7"/>
    <w:rsid w:val="00B43FE0"/>
    <w:rsid w:val="00B44727"/>
    <w:rsid w:val="00B544CC"/>
    <w:rsid w:val="00B603D7"/>
    <w:rsid w:val="00B63984"/>
    <w:rsid w:val="00B805BA"/>
    <w:rsid w:val="00B8201C"/>
    <w:rsid w:val="00B863B1"/>
    <w:rsid w:val="00BB4CFC"/>
    <w:rsid w:val="00BB5686"/>
    <w:rsid w:val="00BB578F"/>
    <w:rsid w:val="00BB7776"/>
    <w:rsid w:val="00BC5DB4"/>
    <w:rsid w:val="00BD0FD2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DCD"/>
    <w:rsid w:val="00C67D86"/>
    <w:rsid w:val="00C71A5D"/>
    <w:rsid w:val="00C72828"/>
    <w:rsid w:val="00C76733"/>
    <w:rsid w:val="00C7681F"/>
    <w:rsid w:val="00C830A4"/>
    <w:rsid w:val="00CB2BE0"/>
    <w:rsid w:val="00CC19A3"/>
    <w:rsid w:val="00CD20DD"/>
    <w:rsid w:val="00CD26A6"/>
    <w:rsid w:val="00CE2257"/>
    <w:rsid w:val="00CE69FC"/>
    <w:rsid w:val="00CF2F0D"/>
    <w:rsid w:val="00CF4DE2"/>
    <w:rsid w:val="00CF7EE9"/>
    <w:rsid w:val="00D01764"/>
    <w:rsid w:val="00D24D59"/>
    <w:rsid w:val="00D37D0D"/>
    <w:rsid w:val="00D534D2"/>
    <w:rsid w:val="00D661B0"/>
    <w:rsid w:val="00D710CA"/>
    <w:rsid w:val="00D75779"/>
    <w:rsid w:val="00D75E00"/>
    <w:rsid w:val="00D77218"/>
    <w:rsid w:val="00DB1C5E"/>
    <w:rsid w:val="00DC1A52"/>
    <w:rsid w:val="00DC318F"/>
    <w:rsid w:val="00DE2CFB"/>
    <w:rsid w:val="00DE6E4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C1601"/>
    <w:rsid w:val="00EC62DF"/>
    <w:rsid w:val="00ED27EB"/>
    <w:rsid w:val="00EF21E1"/>
    <w:rsid w:val="00EF481E"/>
    <w:rsid w:val="00F064D6"/>
    <w:rsid w:val="00F10916"/>
    <w:rsid w:val="00F23002"/>
    <w:rsid w:val="00F33436"/>
    <w:rsid w:val="00F33574"/>
    <w:rsid w:val="00F5389F"/>
    <w:rsid w:val="00F63F47"/>
    <w:rsid w:val="00F91276"/>
    <w:rsid w:val="00FA00D0"/>
    <w:rsid w:val="00FB1D55"/>
    <w:rsid w:val="00FB30A3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03B0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7339E4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7339E4"/>
    <w:rPr>
      <w:rFonts w:ascii="Arial" w:eastAsia="Times New Roman" w:hAnsi="Arial" w:cs="Arial"/>
      <w:vanish/>
      <w:sz w:val="16"/>
      <w:szCs w:val="16"/>
      <w:lang w:eastAsia="pt-BR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7339E4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7339E4"/>
    <w:rPr>
      <w:rFonts w:ascii="Arial" w:eastAsia="Times New Roman" w:hAnsi="Arial" w:cs="Arial"/>
      <w:vanish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0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33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90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8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53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355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466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61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40243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01282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9212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45936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05195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83460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953428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388384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776473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741311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240958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5421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8898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9203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5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494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098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939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91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41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1139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73292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4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A34AA6-B97B-4E9C-97FB-42F41EC1B6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606</Words>
  <Characters>3275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4</cp:revision>
  <cp:lastPrinted>2026-01-28T10:52:00Z</cp:lastPrinted>
  <dcterms:created xsi:type="dcterms:W3CDTF">2026-01-28T10:53:00Z</dcterms:created>
  <dcterms:modified xsi:type="dcterms:W3CDTF">2026-01-29T12:27:00Z</dcterms:modified>
</cp:coreProperties>
</file>